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3D5A8"/>
    <w:p w14:paraId="2CD96C12">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CC135B5">
      <w:pPr>
        <w:spacing w:line="540" w:lineRule="exact"/>
        <w:jc w:val="center"/>
        <w:rPr>
          <w:rFonts w:ascii="华文中宋" w:hAnsi="华文中宋" w:eastAsia="华文中宋" w:cs="宋体"/>
          <w:b/>
          <w:kern w:val="0"/>
          <w:sz w:val="52"/>
          <w:szCs w:val="52"/>
        </w:rPr>
      </w:pPr>
    </w:p>
    <w:p w14:paraId="7B404701">
      <w:pPr>
        <w:spacing w:line="540" w:lineRule="exact"/>
        <w:jc w:val="center"/>
        <w:rPr>
          <w:rFonts w:ascii="华文中宋" w:hAnsi="华文中宋" w:eastAsia="华文中宋" w:cs="宋体"/>
          <w:b/>
          <w:kern w:val="0"/>
          <w:sz w:val="52"/>
          <w:szCs w:val="52"/>
        </w:rPr>
      </w:pPr>
    </w:p>
    <w:p w14:paraId="43EED8E7">
      <w:pPr>
        <w:spacing w:line="540" w:lineRule="exact"/>
        <w:jc w:val="center"/>
        <w:rPr>
          <w:rFonts w:ascii="华文中宋" w:hAnsi="华文中宋" w:eastAsia="华文中宋" w:cs="宋体"/>
          <w:b/>
          <w:kern w:val="0"/>
          <w:sz w:val="52"/>
          <w:szCs w:val="52"/>
        </w:rPr>
      </w:pPr>
    </w:p>
    <w:p w14:paraId="618595E9">
      <w:pPr>
        <w:spacing w:line="540" w:lineRule="exact"/>
        <w:jc w:val="center"/>
        <w:rPr>
          <w:rFonts w:ascii="华文中宋" w:hAnsi="华文中宋" w:eastAsia="华文中宋" w:cs="宋体"/>
          <w:b/>
          <w:kern w:val="0"/>
          <w:sz w:val="52"/>
          <w:szCs w:val="52"/>
        </w:rPr>
      </w:pPr>
    </w:p>
    <w:p w14:paraId="53AC1907">
      <w:pPr>
        <w:spacing w:line="540" w:lineRule="exact"/>
        <w:jc w:val="center"/>
        <w:rPr>
          <w:rFonts w:ascii="华文中宋" w:hAnsi="华文中宋" w:eastAsia="华文中宋" w:cs="宋体"/>
          <w:b/>
          <w:kern w:val="0"/>
          <w:sz w:val="52"/>
          <w:szCs w:val="52"/>
        </w:rPr>
      </w:pPr>
    </w:p>
    <w:p w14:paraId="015F4CBC">
      <w:pPr>
        <w:spacing w:line="540" w:lineRule="exact"/>
        <w:jc w:val="center"/>
        <w:rPr>
          <w:rFonts w:ascii="华文中宋" w:hAnsi="华文中宋" w:eastAsia="华文中宋" w:cs="宋体"/>
          <w:b/>
          <w:kern w:val="0"/>
          <w:sz w:val="52"/>
          <w:szCs w:val="52"/>
        </w:rPr>
      </w:pPr>
    </w:p>
    <w:p w14:paraId="5AA76EF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324C2252">
      <w:pPr>
        <w:spacing w:line="540" w:lineRule="exact"/>
        <w:jc w:val="center"/>
        <w:rPr>
          <w:rFonts w:ascii="华文中宋" w:hAnsi="华文中宋" w:eastAsia="华文中宋" w:cs="宋体"/>
          <w:b/>
          <w:kern w:val="0"/>
          <w:sz w:val="52"/>
          <w:szCs w:val="52"/>
        </w:rPr>
      </w:pPr>
    </w:p>
    <w:p w14:paraId="05E155C5">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2B67B64">
      <w:pPr>
        <w:spacing w:line="540" w:lineRule="exact"/>
        <w:jc w:val="center"/>
        <w:rPr>
          <w:rFonts w:hAnsi="宋体" w:eastAsia="仿宋_GB2312" w:cs="宋体"/>
          <w:kern w:val="0"/>
          <w:sz w:val="30"/>
          <w:szCs w:val="30"/>
        </w:rPr>
      </w:pPr>
    </w:p>
    <w:p w14:paraId="54EFC794">
      <w:pPr>
        <w:spacing w:line="540" w:lineRule="exact"/>
        <w:jc w:val="center"/>
        <w:rPr>
          <w:rFonts w:hAnsi="宋体" w:eastAsia="仿宋_GB2312" w:cs="宋体"/>
          <w:kern w:val="0"/>
          <w:sz w:val="30"/>
          <w:szCs w:val="30"/>
        </w:rPr>
      </w:pPr>
    </w:p>
    <w:p w14:paraId="37744CF2">
      <w:pPr>
        <w:spacing w:line="540" w:lineRule="exact"/>
        <w:jc w:val="center"/>
        <w:rPr>
          <w:rFonts w:hAnsi="宋体" w:eastAsia="仿宋_GB2312" w:cs="宋体"/>
          <w:kern w:val="0"/>
          <w:sz w:val="30"/>
          <w:szCs w:val="30"/>
        </w:rPr>
      </w:pPr>
    </w:p>
    <w:p w14:paraId="2D8C32A9">
      <w:pPr>
        <w:spacing w:line="540" w:lineRule="exact"/>
        <w:jc w:val="center"/>
        <w:rPr>
          <w:rFonts w:hAnsi="宋体" w:eastAsia="仿宋_GB2312" w:cs="宋体"/>
          <w:kern w:val="0"/>
          <w:sz w:val="30"/>
          <w:szCs w:val="30"/>
        </w:rPr>
      </w:pPr>
    </w:p>
    <w:p w14:paraId="2EB5F0C1">
      <w:pPr>
        <w:spacing w:line="540" w:lineRule="exact"/>
        <w:jc w:val="center"/>
        <w:rPr>
          <w:rFonts w:hAnsi="宋体" w:eastAsia="仿宋_GB2312" w:cs="宋体"/>
          <w:kern w:val="0"/>
          <w:sz w:val="30"/>
          <w:szCs w:val="30"/>
        </w:rPr>
      </w:pPr>
    </w:p>
    <w:p w14:paraId="61A92364">
      <w:pPr>
        <w:spacing w:line="540" w:lineRule="exact"/>
        <w:rPr>
          <w:rFonts w:hAnsi="宋体" w:eastAsia="仿宋_GB2312" w:cs="宋体"/>
          <w:kern w:val="0"/>
          <w:sz w:val="30"/>
          <w:szCs w:val="30"/>
        </w:rPr>
      </w:pPr>
    </w:p>
    <w:p w14:paraId="58E08FED">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E26A980">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2024年保基本民生-村干部报酬</w:t>
      </w:r>
    </w:p>
    <w:p w14:paraId="0E88D6BA">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托里县乌雪特乡人民政府</w:t>
      </w:r>
    </w:p>
    <w:p w14:paraId="1CF73D86">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托里县乌雪特乡人民政府</w:t>
      </w:r>
    </w:p>
    <w:p w14:paraId="00D807B4">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关娟</w:t>
      </w:r>
    </w:p>
    <w:p w14:paraId="318362B0">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2025年03月30日</w:t>
      </w:r>
    </w:p>
    <w:p w14:paraId="2249D104">
      <w:pPr>
        <w:spacing w:line="700" w:lineRule="exact"/>
        <w:ind w:firstLine="708" w:firstLineChars="236"/>
        <w:jc w:val="left"/>
        <w:rPr>
          <w:rFonts w:hAnsi="宋体" w:eastAsia="仿宋_GB2312" w:cs="宋体"/>
          <w:kern w:val="0"/>
          <w:sz w:val="30"/>
          <w:szCs w:val="30"/>
        </w:rPr>
      </w:pPr>
    </w:p>
    <w:p w14:paraId="1E886744">
      <w:pPr>
        <w:spacing w:line="540" w:lineRule="exact"/>
        <w:rPr>
          <w:rStyle w:val="19"/>
          <w:rFonts w:ascii="黑体" w:hAnsi="黑体" w:eastAsia="黑体"/>
          <w:b w:val="0"/>
          <w:spacing w:val="-4"/>
          <w:sz w:val="32"/>
          <w:szCs w:val="32"/>
        </w:rPr>
      </w:pPr>
    </w:p>
    <w:p w14:paraId="7A269C72">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14:paraId="3725C785">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14:paraId="26E313BE">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1.项目背景</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深入贯彻落实以习近平同志为核心的党中央治疆方略特别是社会稳定和长治久安总目标，根据《新疆维吾尔自治区村干部报酬补助资金监管办法（试行）》要求，建立村干部报酬补助资金与实绩相统一的收入分配机制，体现公平性、差异化、奖勤罚懒的待遇制度，激励广大村干部新时代新担当新作为，为建强基层基础提供坚强的组织保证和人才支撑，为构建社会主义和谐社会方面发挥重要作用。</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2.项目主要内容：</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项目主要内容：覆盖9个</w:t>
      </w:r>
      <w:bookmarkStart w:id="0" w:name="_GoBack"/>
      <w:bookmarkEnd w:id="0"/>
      <w:r>
        <w:rPr>
          <w:rStyle w:val="19"/>
          <w:rFonts w:hint="eastAsia" w:ascii="楷体" w:hAnsi="楷体" w:eastAsia="楷体"/>
          <w:spacing w:val="-4"/>
          <w:sz w:val="32"/>
          <w:szCs w:val="32"/>
        </w:rPr>
        <w:t>村队，保障57名村干部报酬，提高了提高村干部个人生活收入，充分调动广大基层村干部工作的积极性，发挥村干部在社会主义新农村建设中的引领作用。有效保障村队日常工作的正常开展，切实提升村干部收入水平，有利于更好的调动村干部工作的积极性和干事创业的信心，充分发挥村干部的职能作用，有效提高村干部办公效率，为更好的服务当地农牧民群众打下良好的基础，为乡村振兴发展提供有效保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项目实施情况：项目预算资金99万元，实际执行 99万元（执行率100%），覆盖9个村队并保障57名村干部工作经费，资金支付合规率及时率均达100%，所有村干部工资均控制在预算范围内；项目实施有效支持村干部开展群众慰问、走访调研及村庄发展规划制定，显著提高工作积极性并密切党群关系，受益村干部总体满意度达95%，所有绩效指标均按计划完成。</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3.资金投入和使用情况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（1）资金投入情况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该项目年初预算数309.2万元，全年预算数99万元（年终调减资金210.2万元），该项目资金已全部落实到位，资金来源为财政拨款。</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（2）资金使用情况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309.2万元，全年预算数99万元（年终调减资金210.2万元），全年执行数99万元，预算执行率为100%，主要用于：支付9个村队的干部工资，保障57名村干部开展群众慰问、走访调研及村对发展规划制定等工作，通过走访有效解决群众实际问题、密切党群关系，并显著提升村干部工作积极性。</w:t>
      </w:r>
    </w:p>
    <w:p w14:paraId="3BB8902D">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14:paraId="4B3A008B">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1.总体目标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项目资金 99 万元，用于9个村队工作人员经费，保障57人村干部开展工作、慰问群众、走访调查村队任职干部应深入了解所在村队的实际情况，推进工作的落实。通过实地调研和摸底工作，为制定并修订完善村队的发展规划提供科学依据。他们要倾听群众呼声，关心群众疾苦，积极帮助困难群众解决实际问题，密切党和人民群众的关系，使党群之间形成更紧密的血肉联系。村干部要以身作则，朴素节俭，严于律己。通过自己的榜样作用，引导村组干部在压力环境下保持乡土风貌，以求真务实的作风影响他们，为改变干部作风起到良好的表率作用，通过与农户深入交流，了解他们的需求和困难，村干部可以激发农民的内生动力，增强他们的自我发展能力，帮助他们摆脱贫困。受益村干部满意度达到 95%。</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2.阶段性目标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 xml:space="preserve">年中目标：完成资金支付达到60%。实地调研和摸底工作初步完成，制定并修订完善村队的发展规划初稿。 </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年终目标：完成资金支付达到98%以上，积极帮助困难群众解决实际问题，密切党和人民群众的关系，使党群之间形成更紧密的血肉联系。村干部要以身作则，朴素节俭，严于律 己。</w:t>
      </w:r>
    </w:p>
    <w:p w14:paraId="69B4F127">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14:paraId="6E50A356">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14:paraId="76BB51AB">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（1）评估项目实施效果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通过对项目预算执行情况及各项绩效目标达成程度的系统性分析，全面、客观地评估项目在预定周期内的实施效果，包括社会效益维度指标，为项目后续的改进与优化提供科学依据。</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（2）提升资源利用效率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（3）强化项目管理责任</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（4）为决策提供支持</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（5）促进项目持续改进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3.绩效评价的对象</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本项目预算绩效评价报告的评价对象是托里县乌雪特乡2024年村干部报酬项目及其预算执行情况。该项目由党建办负责实施，旨在保障村干部开展工作、慰问 群众、走访调查村干部应深入了解所在村队的实际情况，推进工作的落实。项目预算涵盖从2024年1月1日至2024年12月26日的全部资金投入与支出，涉及资金总额为99万元。</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4.绩效评价的范围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（1）项目预算编制与执行：全面审视项目预算的编制依据、合理性、科学性以及实际执行情况，包括预算调整的原因和效果。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（2）资金管理：深入分析项目资金的分配、使用和监管情况，确保资金使用的合规性、高效性和透明度。</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（3）项目实施进度与产出：评估项目是否按照既定计划顺利推进，各项任务是否按时完成，以及项目产出的数量、质量和时效性是否符合预期。</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（4）社会影响：考察项目对社会方面的影响。</w:t>
      </w:r>
    </w:p>
    <w:p w14:paraId="417353D0">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14:paraId="66680E7C">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1.绩效评价原则</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本次项目绩效评价遵循以下基本原则：</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（1）科学公正。绩效评价应当运用科学合理的方法，按照规范的程序，对项目绩效进行客观、公正的反映。</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（4）公开透明。绩效评价结果应依法依规公开，并自觉接受社会监督。</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2.评价指标体系</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（1）确定评价指标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（2）确定权重</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（3）确定指标标准值</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绩效评价总分值100分，根据综合评分结果，90（含）-100分为优、80（含）-90分为良、60（含）-80分为中、60分以下为差。</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具体评价指标体系详情见附件1</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3.绩效评价方法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绩效评价从项目决策、项目过程、项目产出、项目效益四个维度进行评价。评价对象为项目目标实施情况，  评价核心为资金的支出完成情况和项目的产出效益。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一）因素分析法。是指综合分析影响绩效目标实现、实施效果的内外部因素的方法。明确资金使用情况：通过成本法可以详细核算驻村工作队开展工作所需的各项直接成本，如办公设备购置、交通差旅费、培训费用等，以及村干部履行职责过程中的相关成本，如误工补贴、办公用品消耗等，能清晰了解每一笔经费的具体去向和用途</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因素分析法。是指综合分析影响绩效目标实现、实施效果的内外部因素的方法能根据不同村队的具体情况进行精准分析和差异化对待，避免“一刀切”的村干部报酬确定方式，确保村干部报酬与当地的实际工作需求相适应，提高资金使用效率和激励效果，更好地调动村干部的工作积极性和主动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4.评价标准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绩效评价标准通常包括计划标准、行业标准、历史标准等，用于对绩效指标完成情况进行比较、分析、评价。本次评价主要采用了计划标准。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（1）计划标准。指以预先制定的目标、计划、预算、定额等作为评价标准。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（2）行业标准。指参照国家公布的行业指标数据制定的评价标准。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（3）历史标准。指参照历史数据制定的评价标准，为体现绩效改进的原则，在可实现的条件下应当确定相对较高的评价标准。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（4）财政部门和预算部门确认或认可的其他标准。</w:t>
      </w:r>
    </w:p>
    <w:p w14:paraId="3300C92D">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14:paraId="44230BD0">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（1）前期准备与规划</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（2）指标体系构建</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（3）数据收集与整理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（4）数据分析与评估</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（5）报告撰写与反馈</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（6）后续跟踪与改进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3989D67B">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14:paraId="5A997F9D">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14:paraId="417E2CD1">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（一）评价情况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综合评价基于对项目各方面绩效的深入分析与评估。从项目目标的达成情况来看，托里县乌雪特乡2024年村干部报酬项目在保障村队数量、保障村干部人数等方面表现出色，达到了预期的标准与要求。同时，项目也在资金支付与合规性取得了显著的成效，如资金拨付合规率100%、资金拨付及时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在项目管理方面，托里县乌雪特乡2024年村干部报酬项目通过有效的规划、组织与协调，项目得以顺利实施，并在预算与时间上保持了良好的控制。</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从项目效益的角度来看，本项目不仅实现了预期的社会效益方面产生了积极的影响。具体而言，提高村干部工作积极性等方面的提升，为项目的利益相关者带来了实实在在的利益。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综上所述，托里县乌雪特乡2024年村干部报酬项目在绩效评价中表现出色，达到了项目的预期目标，并在多个方面取得了显著的成效。</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（二）评价结论</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100%。项目效益类指标权重为20分，得分为20分，得分率为100%。具体打分情况详见：附件1综合评分表。</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表1综合评分表</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一级指标</w:t>
      </w:r>
      <w:r>
        <w:rPr>
          <w:rStyle w:val="19"/>
          <w:rFonts w:hint="eastAsia" w:ascii="楷体" w:hAnsi="楷体" w:eastAsia="楷体"/>
          <w:spacing w:val="-4"/>
          <w:sz w:val="32"/>
          <w:szCs w:val="32"/>
        </w:rPr>
        <w:tab/>
      </w:r>
      <w:r>
        <w:rPr>
          <w:rStyle w:val="19"/>
          <w:rFonts w:hint="eastAsia" w:ascii="楷体" w:hAnsi="楷体" w:eastAsia="楷体"/>
          <w:spacing w:val="-4"/>
          <w:sz w:val="32"/>
          <w:szCs w:val="32"/>
        </w:rPr>
        <w:t>权重分</w:t>
      </w:r>
      <w:r>
        <w:rPr>
          <w:rStyle w:val="19"/>
          <w:rFonts w:hint="eastAsia" w:ascii="楷体" w:hAnsi="楷体" w:eastAsia="楷体"/>
          <w:spacing w:val="-4"/>
          <w:sz w:val="32"/>
          <w:szCs w:val="32"/>
        </w:rPr>
        <w:tab/>
      </w:r>
      <w:r>
        <w:rPr>
          <w:rStyle w:val="19"/>
          <w:rFonts w:hint="eastAsia" w:ascii="楷体" w:hAnsi="楷体" w:eastAsia="楷体"/>
          <w:spacing w:val="-4"/>
          <w:sz w:val="32"/>
          <w:szCs w:val="32"/>
        </w:rPr>
        <w:t>得分</w:t>
      </w:r>
      <w:r>
        <w:rPr>
          <w:rStyle w:val="19"/>
          <w:rFonts w:hint="eastAsia" w:ascii="楷体" w:hAnsi="楷体" w:eastAsia="楷体"/>
          <w:spacing w:val="-4"/>
          <w:sz w:val="32"/>
          <w:szCs w:val="32"/>
        </w:rPr>
        <w:tab/>
      </w:r>
      <w:r>
        <w:rPr>
          <w:rStyle w:val="19"/>
          <w:rFonts w:hint="eastAsia" w:ascii="楷体" w:hAnsi="楷体" w:eastAsia="楷体"/>
          <w:spacing w:val="-4"/>
          <w:sz w:val="32"/>
          <w:szCs w:val="32"/>
        </w:rPr>
        <w:t>得分率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项目决策</w:t>
      </w:r>
      <w:r>
        <w:rPr>
          <w:rStyle w:val="19"/>
          <w:rFonts w:hint="eastAsia" w:ascii="楷体" w:hAnsi="楷体" w:eastAsia="楷体"/>
          <w:spacing w:val="-4"/>
          <w:sz w:val="32"/>
          <w:szCs w:val="32"/>
        </w:rPr>
        <w:tab/>
      </w:r>
      <w:r>
        <w:rPr>
          <w:rStyle w:val="19"/>
          <w:rFonts w:hint="eastAsia" w:ascii="楷体" w:hAnsi="楷体" w:eastAsia="楷体"/>
          <w:spacing w:val="-4"/>
          <w:sz w:val="32"/>
          <w:szCs w:val="32"/>
        </w:rPr>
        <w:t>20</w:t>
      </w:r>
      <w:r>
        <w:rPr>
          <w:rStyle w:val="19"/>
          <w:rFonts w:hint="eastAsia" w:ascii="楷体" w:hAnsi="楷体" w:eastAsia="楷体"/>
          <w:spacing w:val="-4"/>
          <w:sz w:val="32"/>
          <w:szCs w:val="32"/>
        </w:rPr>
        <w:tab/>
      </w:r>
      <w:r>
        <w:rPr>
          <w:rStyle w:val="19"/>
          <w:rFonts w:hint="eastAsia" w:ascii="楷体" w:hAnsi="楷体" w:eastAsia="楷体"/>
          <w:spacing w:val="-4"/>
          <w:sz w:val="32"/>
          <w:szCs w:val="32"/>
        </w:rPr>
        <w:t>20</w:t>
      </w:r>
      <w:r>
        <w:rPr>
          <w:rStyle w:val="19"/>
          <w:rFonts w:hint="eastAsia" w:ascii="楷体" w:hAnsi="楷体" w:eastAsia="楷体"/>
          <w:spacing w:val="-4"/>
          <w:sz w:val="32"/>
          <w:szCs w:val="32"/>
        </w:rPr>
        <w:tab/>
      </w:r>
      <w:r>
        <w:rPr>
          <w:rStyle w:val="19"/>
          <w:rFonts w:hint="eastAsia" w:ascii="楷体" w:hAnsi="楷体" w:eastAsia="楷体"/>
          <w:spacing w:val="-4"/>
          <w:sz w:val="32"/>
          <w:szCs w:val="32"/>
        </w:rPr>
        <w:t>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项目过程</w:t>
      </w:r>
      <w:r>
        <w:rPr>
          <w:rStyle w:val="19"/>
          <w:rFonts w:hint="eastAsia" w:ascii="楷体" w:hAnsi="楷体" w:eastAsia="楷体"/>
          <w:spacing w:val="-4"/>
          <w:sz w:val="32"/>
          <w:szCs w:val="32"/>
        </w:rPr>
        <w:tab/>
      </w:r>
      <w:r>
        <w:rPr>
          <w:rStyle w:val="19"/>
          <w:rFonts w:hint="eastAsia" w:ascii="楷体" w:hAnsi="楷体" w:eastAsia="楷体"/>
          <w:spacing w:val="-4"/>
          <w:sz w:val="32"/>
          <w:szCs w:val="32"/>
        </w:rPr>
        <w:t>20</w:t>
      </w:r>
      <w:r>
        <w:rPr>
          <w:rStyle w:val="19"/>
          <w:rFonts w:hint="eastAsia" w:ascii="楷体" w:hAnsi="楷体" w:eastAsia="楷体"/>
          <w:spacing w:val="-4"/>
          <w:sz w:val="32"/>
          <w:szCs w:val="32"/>
        </w:rPr>
        <w:tab/>
      </w:r>
      <w:r>
        <w:rPr>
          <w:rStyle w:val="19"/>
          <w:rFonts w:hint="eastAsia" w:ascii="楷体" w:hAnsi="楷体" w:eastAsia="楷体"/>
          <w:spacing w:val="-4"/>
          <w:sz w:val="32"/>
          <w:szCs w:val="32"/>
        </w:rPr>
        <w:t>20</w:t>
      </w:r>
      <w:r>
        <w:rPr>
          <w:rStyle w:val="19"/>
          <w:rFonts w:hint="eastAsia" w:ascii="楷体" w:hAnsi="楷体" w:eastAsia="楷体"/>
          <w:spacing w:val="-4"/>
          <w:sz w:val="32"/>
          <w:szCs w:val="32"/>
        </w:rPr>
        <w:tab/>
      </w:r>
      <w:r>
        <w:rPr>
          <w:rStyle w:val="19"/>
          <w:rFonts w:hint="eastAsia" w:ascii="楷体" w:hAnsi="楷体" w:eastAsia="楷体"/>
          <w:spacing w:val="-4"/>
          <w:sz w:val="32"/>
          <w:szCs w:val="32"/>
        </w:rPr>
        <w:t>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项目产出</w:t>
      </w:r>
      <w:r>
        <w:rPr>
          <w:rStyle w:val="19"/>
          <w:rFonts w:hint="eastAsia" w:ascii="楷体" w:hAnsi="楷体" w:eastAsia="楷体"/>
          <w:spacing w:val="-4"/>
          <w:sz w:val="32"/>
          <w:szCs w:val="32"/>
        </w:rPr>
        <w:tab/>
      </w:r>
      <w:r>
        <w:rPr>
          <w:rStyle w:val="19"/>
          <w:rFonts w:hint="eastAsia" w:ascii="楷体" w:hAnsi="楷体" w:eastAsia="楷体"/>
          <w:spacing w:val="-4"/>
          <w:sz w:val="32"/>
          <w:szCs w:val="32"/>
        </w:rPr>
        <w:t>40</w:t>
      </w:r>
      <w:r>
        <w:rPr>
          <w:rStyle w:val="19"/>
          <w:rFonts w:hint="eastAsia" w:ascii="楷体" w:hAnsi="楷体" w:eastAsia="楷体"/>
          <w:spacing w:val="-4"/>
          <w:sz w:val="32"/>
          <w:szCs w:val="32"/>
        </w:rPr>
        <w:tab/>
      </w:r>
      <w:r>
        <w:rPr>
          <w:rStyle w:val="19"/>
          <w:rFonts w:hint="eastAsia" w:ascii="楷体" w:hAnsi="楷体" w:eastAsia="楷体"/>
          <w:spacing w:val="-4"/>
          <w:sz w:val="32"/>
          <w:szCs w:val="32"/>
        </w:rPr>
        <w:t>40</w:t>
      </w:r>
      <w:r>
        <w:rPr>
          <w:rStyle w:val="19"/>
          <w:rFonts w:hint="eastAsia" w:ascii="楷体" w:hAnsi="楷体" w:eastAsia="楷体"/>
          <w:spacing w:val="-4"/>
          <w:sz w:val="32"/>
          <w:szCs w:val="32"/>
        </w:rPr>
        <w:tab/>
      </w:r>
      <w:r>
        <w:rPr>
          <w:rStyle w:val="19"/>
          <w:rFonts w:hint="eastAsia" w:ascii="楷体" w:hAnsi="楷体" w:eastAsia="楷体"/>
          <w:spacing w:val="-4"/>
          <w:sz w:val="32"/>
          <w:szCs w:val="32"/>
        </w:rPr>
        <w:t>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项目效益</w:t>
      </w:r>
      <w:r>
        <w:rPr>
          <w:rStyle w:val="19"/>
          <w:rFonts w:hint="eastAsia" w:ascii="楷体" w:hAnsi="楷体" w:eastAsia="楷体"/>
          <w:spacing w:val="-4"/>
          <w:sz w:val="32"/>
          <w:szCs w:val="32"/>
        </w:rPr>
        <w:tab/>
      </w:r>
      <w:r>
        <w:rPr>
          <w:rStyle w:val="19"/>
          <w:rFonts w:hint="eastAsia" w:ascii="楷体" w:hAnsi="楷体" w:eastAsia="楷体"/>
          <w:spacing w:val="-4"/>
          <w:sz w:val="32"/>
          <w:szCs w:val="32"/>
        </w:rPr>
        <w:t>20</w:t>
      </w:r>
      <w:r>
        <w:rPr>
          <w:rStyle w:val="19"/>
          <w:rFonts w:hint="eastAsia" w:ascii="楷体" w:hAnsi="楷体" w:eastAsia="楷体"/>
          <w:spacing w:val="-4"/>
          <w:sz w:val="32"/>
          <w:szCs w:val="32"/>
        </w:rPr>
        <w:tab/>
      </w:r>
      <w:r>
        <w:rPr>
          <w:rStyle w:val="19"/>
          <w:rFonts w:hint="eastAsia" w:ascii="楷体" w:hAnsi="楷体" w:eastAsia="楷体"/>
          <w:spacing w:val="-4"/>
          <w:sz w:val="32"/>
          <w:szCs w:val="32"/>
        </w:rPr>
        <w:t>20</w:t>
      </w:r>
      <w:r>
        <w:rPr>
          <w:rStyle w:val="19"/>
          <w:rFonts w:hint="eastAsia" w:ascii="楷体" w:hAnsi="楷体" w:eastAsia="楷体"/>
          <w:spacing w:val="-4"/>
          <w:sz w:val="32"/>
          <w:szCs w:val="32"/>
        </w:rPr>
        <w:tab/>
      </w:r>
      <w:r>
        <w:rPr>
          <w:rStyle w:val="19"/>
          <w:rFonts w:hint="eastAsia" w:ascii="楷体" w:hAnsi="楷体" w:eastAsia="楷体"/>
          <w:spacing w:val="-4"/>
          <w:sz w:val="32"/>
          <w:szCs w:val="32"/>
        </w:rPr>
        <w:t>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合计</w:t>
      </w:r>
      <w:r>
        <w:rPr>
          <w:rStyle w:val="19"/>
          <w:rFonts w:hint="eastAsia" w:ascii="楷体" w:hAnsi="楷体" w:eastAsia="楷体"/>
          <w:spacing w:val="-4"/>
          <w:sz w:val="32"/>
          <w:szCs w:val="32"/>
        </w:rPr>
        <w:tab/>
      </w:r>
      <w:r>
        <w:rPr>
          <w:rStyle w:val="19"/>
          <w:rFonts w:hint="eastAsia" w:ascii="楷体" w:hAnsi="楷体" w:eastAsia="楷体"/>
          <w:spacing w:val="-4"/>
          <w:sz w:val="32"/>
          <w:szCs w:val="32"/>
        </w:rPr>
        <w:t>100</w:t>
      </w:r>
      <w:r>
        <w:rPr>
          <w:rStyle w:val="19"/>
          <w:rFonts w:hint="eastAsia" w:ascii="楷体" w:hAnsi="楷体" w:eastAsia="楷体"/>
          <w:spacing w:val="-4"/>
          <w:sz w:val="32"/>
          <w:szCs w:val="32"/>
        </w:rPr>
        <w:tab/>
      </w:r>
      <w:r>
        <w:rPr>
          <w:rStyle w:val="19"/>
          <w:rFonts w:hint="eastAsia" w:ascii="楷体" w:hAnsi="楷体" w:eastAsia="楷体"/>
          <w:spacing w:val="-4"/>
          <w:sz w:val="32"/>
          <w:szCs w:val="32"/>
        </w:rPr>
        <w:t>100</w:t>
      </w:r>
      <w:r>
        <w:rPr>
          <w:rStyle w:val="19"/>
          <w:rFonts w:hint="eastAsia" w:ascii="楷体" w:hAnsi="楷体" w:eastAsia="楷体"/>
          <w:spacing w:val="-4"/>
          <w:sz w:val="32"/>
          <w:szCs w:val="32"/>
        </w:rPr>
        <w:tab/>
      </w:r>
      <w:r>
        <w:rPr>
          <w:rStyle w:val="19"/>
          <w:rFonts w:hint="eastAsia" w:ascii="楷体" w:hAnsi="楷体" w:eastAsia="楷体"/>
          <w:spacing w:val="-4"/>
          <w:sz w:val="32"/>
          <w:szCs w:val="32"/>
        </w:rPr>
        <w:t>100%</w:t>
      </w:r>
    </w:p>
    <w:p w14:paraId="34328214">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14:paraId="09BC5462">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项目决策类指标包括项目立项、绩效目标和资金投入三方面的内容，由6个三级指标构成，权重分值为20分，实际得分100分，得分率为100%。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1.项目立项</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（1）立项依据充分性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（2）立项程序规范性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（1）绩效目标合理性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（2）绩效指标明确性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项目设置了明确的预期产出效益和效果，将绩效目标细化分解为具体的绩效指标，绩效目标与项目目标任务数相对应，绩效目标设定的绩效指标清晰、细化、可衡量。</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（1）预算编制科学性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（2）资金分配合理性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7092AA01">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四、项目绩效情况</w:t>
      </w:r>
      <w:r>
        <w:rPr>
          <w:rStyle w:val="19"/>
          <w:rFonts w:hint="eastAsia" w:ascii="黑体" w:hAnsi="黑体" w:eastAsia="黑体"/>
        </w:rPr>
        <w:t xml:space="preserve"> </w:t>
      </w:r>
    </w:p>
    <w:p w14:paraId="728CA45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14:paraId="703E89AF">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项目过程类指标包括资金管理和组织实施两方面的内容，由5个三级指标构成，权重分值为20分，实际得分20分，得分率为100%。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1.资金管理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（1）资金到位率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本项目总投资99万元，财政资金及时足额到位，到位率100%，预算资金按计划进度执行。</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（2）预算执行率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预算编制较为详细，项目资金支出总体能够按照预算执行，预算资金支出99万元，预算执行率为100%。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（3）资金使用合规性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2.组织实施</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（1）管理制度健全性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在制度设计上，我们注重了制度的科学性与可操作性，确保制度能够切实指导项目的执行与管理。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（2）制度执行有效性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综上所述，本项目的管理制度在执行过程中表现出了高度的有效性，既确保了项目的顺利进行，又实现了项目目标的有效达成。</w:t>
      </w:r>
    </w:p>
    <w:p w14:paraId="6DEB97D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14:paraId="601C7C4B">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项目产出类指标包括产出数量、产出质量、产出时效、产出成本四方面的内容，由10个三级指标构成，权重分为40分，实际得分40分，得分率为100%。具体产出指标完成情况如下：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①数量指标：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指标1：补助党支部书记人数量，指标值：&gt;=9个，实际完成值：9个，指标完成率100 %。</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指标2：补助党支部委员人数量，指标值：&gt;=11个，实际完成值：11个，指标完成率100 %.</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指标3：补助一般干部人数量，指标值：&gt;=29个，实际完成值：29个，指标完成率100 %.</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指标4：补助党支部副书记人数量，指标值：&gt;=8个，实际完成值：8个，指标完成率 100 %.</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②质量指标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指标1：资金使用合规率，指标值：=100%，实际完成值： 100%，指标完成率100%。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③时效指标：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指标1：资金发放完成时间，指标值：2024年12月26日，实际完成值：2024年12 月26 日，指标完成率100%。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④成本指标：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指标1：党支部书记生活补助成本，指标值：&lt;=4700元·人/月，实际完成值：4700元·人/月，指标完成率100%。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指标2：党支部委员生活补助成本，指标值：&lt;=4600元·人/月，实际完成值：4600元·人/月，指标完成率100%。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指标3：一般干部生活补助，指标值：&lt;=3700元·人/月，实际完成值：3700元·人/月，指标完成率100%。: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指标4：党支部副书记生活补助成本，指标值：&lt;=4000元·人/月，实际完成值：4000元·人/月，指标完成率100%。</w:t>
      </w:r>
    </w:p>
    <w:p w14:paraId="13692BA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14:paraId="4120BC0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14:paraId="399C14A5">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项目效益类指标包括项目实施效益和满意度两方面的内容，由3个三级指标构成，权重分为20分，实际得分20分，得分率为100%。具体效益指标及满意度指标完成情况如下：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1.实施效益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②社会效益指标: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指标1：提高村队工作积极性，指标值：有效提高，实际完成值：有效提高，指标完成率100%。</w:t>
      </w:r>
    </w:p>
    <w:p w14:paraId="0BBC9E2F">
      <w:pPr>
        <w:spacing w:line="540" w:lineRule="exact"/>
        <w:ind w:firstLine="567" w:firstLineChars="181"/>
        <w:rPr>
          <w:rFonts w:ascii="楷体" w:hAnsi="楷体" w:eastAsia="楷体"/>
          <w:b/>
          <w:spacing w:val="-4"/>
          <w:sz w:val="32"/>
          <w:szCs w:val="32"/>
        </w:rPr>
      </w:pPr>
    </w:p>
    <w:p w14:paraId="05C9EB4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14:paraId="6E368C69">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指标1：村干部满意度，指标值：&gt;=95%，实际完成值：95%，指标完成率100%。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指标2：群众满意度，指标值：&gt;=95%，实际完成值：95%，指标完成率100%。</w:t>
      </w:r>
    </w:p>
    <w:p w14:paraId="188262E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14:paraId="544D7835">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托里县乌雪特乡2024年村干部报酬项目年初预算99万元，全年预算99万元，实际支出99万元，预算执行率为100%，项目绩效指标总体完成率为100%，总体偏差率为0%。</w:t>
      </w:r>
    </w:p>
    <w:p w14:paraId="08A82D05">
      <w:pPr>
        <w:spacing w:line="540" w:lineRule="exact"/>
        <w:ind w:firstLine="567" w:firstLineChars="181"/>
        <w:rPr>
          <w:rFonts w:ascii="楷体" w:hAnsi="楷体" w:eastAsia="楷体"/>
          <w:b/>
          <w:spacing w:val="-4"/>
          <w:sz w:val="32"/>
          <w:szCs w:val="32"/>
        </w:rPr>
      </w:pPr>
    </w:p>
    <w:p w14:paraId="77C48F80">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14:paraId="02A43292">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14:paraId="0AEC7B50">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（一）主要经验及做法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（二）存在的问题及原因分析</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1.相关绩效管理方面专业知识的系统性学习有待加强。各项指标的设置要进一步优化、完善，主要在细化、量化上改进。在绩效自评过程中，</w:t>
      </w:r>
      <w:r>
        <w:rPr>
          <w:rStyle w:val="19"/>
          <w:rFonts w:hint="eastAsia" w:ascii="楷体" w:hAnsi="楷体" w:eastAsia="楷体"/>
          <w:spacing w:val="-4"/>
          <w:sz w:val="32"/>
          <w:szCs w:val="32"/>
          <w:lang w:val="en-US" w:eastAsia="zh-CN"/>
        </w:rPr>
        <w:t>由于部分人员</w:t>
      </w:r>
      <w:r>
        <w:rPr>
          <w:rStyle w:val="19"/>
          <w:rFonts w:hint="eastAsia" w:ascii="楷体" w:hAnsi="楷体" w:eastAsia="楷体"/>
          <w:spacing w:val="-4"/>
          <w:sz w:val="32"/>
          <w:szCs w:val="32"/>
        </w:rPr>
        <w:t>缺乏相关绩效管理专业知识，自评价工作还存在自我审定的局限性，影响评价质量。</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2.因轮岗、调动等因素使我单位绩效工作人员流动频繁，造成工作衔接不到位的情况。</w:t>
      </w:r>
    </w:p>
    <w:p w14:paraId="0788F465">
      <w:pPr>
        <w:ind w:firstLine="624" w:firstLineChars="200"/>
        <w:rPr>
          <w:rFonts w:ascii="仿宋_GB2312" w:eastAsia="仿宋_GB2312"/>
          <w:spacing w:val="-4"/>
          <w:sz w:val="32"/>
          <w:szCs w:val="32"/>
        </w:rPr>
      </w:pPr>
    </w:p>
    <w:p w14:paraId="060F564A">
      <w:pPr>
        <w:spacing w:line="540" w:lineRule="exact"/>
        <w:ind w:firstLine="567"/>
        <w:rPr>
          <w:rStyle w:val="19"/>
          <w:rFonts w:ascii="仿宋" w:hAnsi="仿宋" w:eastAsia="仿宋"/>
          <w:b w:val="0"/>
          <w:spacing w:val="-4"/>
          <w:sz w:val="32"/>
          <w:szCs w:val="32"/>
        </w:rPr>
      </w:pPr>
    </w:p>
    <w:p w14:paraId="60516B2F">
      <w:pPr>
        <w:spacing w:line="540" w:lineRule="exact"/>
        <w:ind w:firstLine="567"/>
        <w:rPr>
          <w:rStyle w:val="19"/>
          <w:rFonts w:ascii="仿宋" w:hAnsi="仿宋" w:eastAsia="仿宋"/>
          <w:b w:val="0"/>
          <w:spacing w:val="-4"/>
          <w:sz w:val="32"/>
          <w:szCs w:val="32"/>
        </w:rPr>
      </w:pPr>
    </w:p>
    <w:p w14:paraId="098F9A17">
      <w:pPr>
        <w:spacing w:line="540" w:lineRule="exact"/>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91BBFFA-D7A9-480A-B7F0-CB3391C664E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14577299-AA0C-49A5-BEE8-5E9466649626}"/>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D7C52417-63A1-4B45-9FA8-BC1FFA6E6137}"/>
  </w:font>
  <w:font w:name="华文中宋">
    <w:panose1 w:val="02010600040101010101"/>
    <w:charset w:val="86"/>
    <w:family w:val="auto"/>
    <w:pitch w:val="default"/>
    <w:sig w:usb0="00000287" w:usb1="080F0000" w:usb2="00000000" w:usb3="00000000" w:csb0="0004009F" w:csb1="DFD70000"/>
    <w:embedRegular r:id="rId4" w:fontKey="{19DE451C-EFC2-4CB9-B9E4-3C3ECE25BDCC}"/>
  </w:font>
  <w:font w:name="方正小标宋_GBK">
    <w:panose1 w:val="02000000000000000000"/>
    <w:charset w:val="86"/>
    <w:family w:val="script"/>
    <w:pitch w:val="default"/>
    <w:sig w:usb0="A00002BF" w:usb1="38CF7CFA" w:usb2="00082016" w:usb3="00000000" w:csb0="00040001" w:csb1="00000000"/>
    <w:embedRegular r:id="rId5" w:fontKey="{1BEE4BD5-8EAE-43AD-84C1-FF807F1D6336}"/>
  </w:font>
  <w:font w:name="仿宋_GB2312">
    <w:panose1 w:val="02010609030101010101"/>
    <w:charset w:val="86"/>
    <w:family w:val="modern"/>
    <w:pitch w:val="default"/>
    <w:sig w:usb0="00000001" w:usb1="080E0000" w:usb2="00000000" w:usb3="00000000" w:csb0="00040000" w:csb1="00000000"/>
    <w:embedRegular r:id="rId6" w:fontKey="{F98DB65C-6B34-4022-9D0C-1307FB6F094E}"/>
  </w:font>
  <w:font w:name="楷体">
    <w:panose1 w:val="02010609060101010101"/>
    <w:charset w:val="86"/>
    <w:family w:val="modern"/>
    <w:pitch w:val="default"/>
    <w:sig w:usb0="800002BF" w:usb1="38CF7CFA" w:usb2="00000016" w:usb3="00000000" w:csb0="00040001" w:csb1="00000000"/>
    <w:embedRegular r:id="rId7" w:fontKey="{7CB3B7C0-51C7-4134-8DB8-812E02BCF26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4A4A833C">
        <w:pPr>
          <w:pStyle w:val="12"/>
          <w:jc w:val="center"/>
        </w:pPr>
        <w:r>
          <w:fldChar w:fldCharType="begin"/>
        </w:r>
        <w:r>
          <w:instrText xml:space="preserve">PAGE   \* MERGEFORMAT</w:instrText>
        </w:r>
        <w:r>
          <w:fldChar w:fldCharType="separate"/>
        </w:r>
        <w:r>
          <w:rPr>
            <w:lang w:val="zh-CN"/>
          </w:rPr>
          <w:t>1</w:t>
        </w:r>
        <w:r>
          <w:fldChar w:fldCharType="end"/>
        </w:r>
      </w:p>
    </w:sdtContent>
  </w:sdt>
  <w:p w14:paraId="44702989">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BDD1381"/>
    <w:rsid w:val="3BC215FA"/>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

<file path=customXml/itemProps1.xml><?xml version="1.0" encoding="utf-8"?>
<ds:datastoreItem xmlns:ds="http://schemas.openxmlformats.org/officeDocument/2006/customXml" ds:itemID="{59f47231-dfa0-474c-9fca-fef17f76508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9038</Words>
  <Characters>9362</Characters>
  <Lines>5</Lines>
  <Paragraphs>1</Paragraphs>
  <TotalTime>85</TotalTime>
  <ScaleCrop>false</ScaleCrop>
  <LinksUpToDate>false</LinksUpToDate>
  <CharactersWithSpaces>9415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雨。</cp:lastModifiedBy>
  <cp:lastPrinted>2018-12-31T10:56:00Z</cp:lastPrinted>
  <dcterms:modified xsi:type="dcterms:W3CDTF">2025-10-31T10:32:38Z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KSOTemplateDocerSaveRecord">
    <vt:lpwstr>eyJoZGlkIjoiZjZjY2YzNDY3YWM4YThjNjdkZTk2MDAwYjE2OGQzNDQiLCJ1c2VySWQiOiIzNzI2MDMzNTYifQ==</vt:lpwstr>
  </property>
  <property fmtid="{D5CDD505-2E9C-101B-9397-08002B2CF9AE}" pid="4" name="ICV">
    <vt:lpwstr>FB351C07313F40E4A0F9D7FBDB5AFB54_12</vt:lpwstr>
  </property>
</Properties>
</file>